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управлению кадрами</w:t>
            </w:r>
          </w:p>
          <w:p>
            <w:pPr>
              <w:jc w:val="center"/>
              <w:spacing w:after="0" w:line="240" w:lineRule="auto"/>
              <w:rPr>
                <w:sz w:val="32"/>
                <w:szCs w:val="32"/>
              </w:rPr>
            </w:pPr>
            <w:r>
              <w:rPr>
                <w:rFonts w:ascii="Times New Roman" w:hAnsi="Times New Roman" w:cs="Times New Roman"/>
                <w:color w:val="#000000"/>
                <w:sz w:val="32"/>
                <w:szCs w:val="32"/>
              </w:rPr>
              <w:t> К.М.03.05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управлению кадрами»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К.М.03.05 «Практикум по управлению кадрами».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управлению кадрами»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развитию кадровых технологий и регулированию профессионального развития гражданских служащих на государственной гражданской и муниципальной службе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технологии отбора и оценки персонала на государственной гражданской и муниципальной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технологии и методы развития персонала и построения профессиональной карьеры на государственной гражданской и муниципальной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основы психологии и социологии труда; общие тенденции развития на рынке труда, в отдельных отраслях и видах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вопросы планирования и организации работы по профессиональному развитию кадрового состава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понятие кадровой стратегии и кадровой политики организации: цели, задачи, формы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знать понятие и элементы модели компетенций (профессиональных и личностных качеств)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структуру и ключевые положения должностного регламента государственного гражданского служащего и должностной инструкции муниципального служащего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порядок внесения изменений в должностной регламент государственного гражданского служащего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определять оптимальные методы и инструменты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 профессиональной деятельности  должностные инструкции муниципального служащего; порядок внесения изменений в должностной регламент государственного гражданского служащего</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разработки и применения в профессиональной деятельности кадровой стратегии и кадровой политики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разработки и применения в профессиональной деятельности моделей компетенций (профессиональных и личностных качеств) государственных муниципальных служащих</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владеть навыками планирования и организации работы по подготовке и переподготовке резерва управленческих кадров</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определения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использования в работе передового российского и зарубежного опыта отбора, оценки, адаптации и мотивации персонала</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использования в профессиональной сфере технологии и методы развития персонала и построения профессиональной карьеры на госу- дарственной гражданской и муниципальной службе</w:t>
            </w:r>
          </w:p>
        </w:tc>
      </w:tr>
      <w:tr>
        <w:trPr>
          <w:trHeight w:hRule="exact" w:val="277.8301"/>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К.М.03.05 «Практикум по управлению кадрами» относится к обязательной части, является дисциплиной Блока Б1. «Дисциплины (модули)». Модуль "Современные кадровые технологии и регулирование профессионального развития гражданских служащих на государственной гражданской и муниципальной службе"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61"/>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Кадровые технологии на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Система управления кадрами в государственной гражданской и муниципальной службе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и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кадрами по функциям.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109.49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человеческих ресурсов</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человеческих ресурсах</w:t>
            </w:r>
          </w:p>
          <w:p>
            <w:pPr>
              <w:jc w:val="both"/>
              <w:spacing w:after="0" w:line="240" w:lineRule="auto"/>
              <w:rPr>
                <w:sz w:val="24"/>
                <w:szCs w:val="24"/>
              </w:rPr>
            </w:pPr>
            <w:r>
              <w:rPr>
                <w:rFonts w:ascii="Times New Roman" w:hAnsi="Times New Roman" w:cs="Times New Roman"/>
                <w:color w:val="#000000"/>
                <w:sz w:val="24"/>
                <w:szCs w:val="24"/>
              </w:rPr>
              <w:t> Набор и отбор персонала. Этапы отбора персонала</w:t>
            </w:r>
          </w:p>
          <w:p>
            <w:pPr>
              <w:jc w:val="both"/>
              <w:spacing w:after="0" w:line="240" w:lineRule="auto"/>
              <w:rPr>
                <w:sz w:val="24"/>
                <w:szCs w:val="24"/>
              </w:rPr>
            </w:pPr>
            <w:r>
              <w:rPr>
                <w:rFonts w:ascii="Times New Roman" w:hAnsi="Times New Roman" w:cs="Times New Roman"/>
                <w:color w:val="#000000"/>
                <w:sz w:val="24"/>
                <w:szCs w:val="24"/>
              </w:rPr>
              <w:t> Современные виды и формы занятости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кадрами по функциям.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адаптацией. Оценка персонала. Обучение персонала. Деловая карьера. Мотивация и стимулирование.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человеческих ресурсов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человеческих ресурсах</w:t>
            </w:r>
          </w:p>
          <w:p>
            <w:pPr>
              <w:jc w:val="both"/>
              <w:spacing w:after="0" w:line="240" w:lineRule="auto"/>
              <w:rPr>
                <w:sz w:val="24"/>
                <w:szCs w:val="24"/>
              </w:rPr>
            </w:pPr>
            <w:r>
              <w:rPr>
                <w:rFonts w:ascii="Times New Roman" w:hAnsi="Times New Roman" w:cs="Times New Roman"/>
                <w:color w:val="#000000"/>
                <w:sz w:val="24"/>
                <w:szCs w:val="24"/>
              </w:rPr>
              <w:t> Набор и отбор персонала. Этапы отбора персонала</w:t>
            </w:r>
          </w:p>
          <w:p>
            <w:pPr>
              <w:jc w:val="both"/>
              <w:spacing w:after="0" w:line="240" w:lineRule="auto"/>
              <w:rPr>
                <w:sz w:val="24"/>
                <w:szCs w:val="24"/>
              </w:rPr>
            </w:pPr>
            <w:r>
              <w:rPr>
                <w:rFonts w:ascii="Times New Roman" w:hAnsi="Times New Roman" w:cs="Times New Roman"/>
                <w:color w:val="#000000"/>
                <w:sz w:val="24"/>
                <w:szCs w:val="24"/>
              </w:rPr>
              <w:t> Современные виды и формы занятости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Адаптация персонала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и виды адаптации</w:t>
            </w:r>
          </w:p>
          <w:p>
            <w:pPr>
              <w:jc w:val="both"/>
              <w:spacing w:after="0" w:line="240" w:lineRule="auto"/>
              <w:rPr>
                <w:sz w:val="24"/>
                <w:szCs w:val="24"/>
              </w:rPr>
            </w:pPr>
            <w:r>
              <w:rPr>
                <w:rFonts w:ascii="Times New Roman" w:hAnsi="Times New Roman" w:cs="Times New Roman"/>
                <w:color w:val="#000000"/>
                <w:sz w:val="24"/>
                <w:szCs w:val="24"/>
              </w:rPr>
              <w:t> Управление трудовой адаптацией</w:t>
            </w:r>
          </w:p>
          <w:p>
            <w:pPr>
              <w:jc w:val="both"/>
              <w:spacing w:after="0" w:line="240" w:lineRule="auto"/>
              <w:rPr>
                <w:sz w:val="24"/>
                <w:szCs w:val="24"/>
              </w:rPr>
            </w:pPr>
            <w:r>
              <w:rPr>
                <w:rFonts w:ascii="Times New Roman" w:hAnsi="Times New Roman" w:cs="Times New Roman"/>
                <w:color w:val="#000000"/>
                <w:sz w:val="24"/>
                <w:szCs w:val="24"/>
              </w:rPr>
              <w:t> Оценка эффективности адаптации</w:t>
            </w:r>
          </w:p>
          <w:p>
            <w:pPr>
              <w:jc w:val="both"/>
              <w:spacing w:after="0" w:line="240" w:lineRule="auto"/>
              <w:rPr>
                <w:sz w:val="24"/>
                <w:szCs w:val="24"/>
              </w:rPr>
            </w:pPr>
            <w:r>
              <w:rPr>
                <w:rFonts w:ascii="Times New Roman" w:hAnsi="Times New Roman" w:cs="Times New Roman"/>
                <w:color w:val="#000000"/>
                <w:sz w:val="24"/>
                <w:szCs w:val="24"/>
              </w:rPr>
              <w:t> Преодоление сопротивления организационным изменениям</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человеческих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формированию системы мотивации трудового поведения</w:t>
            </w:r>
          </w:p>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персонала</w:t>
            </w:r>
          </w:p>
          <w:p>
            <w:pPr>
              <w:jc w:val="both"/>
              <w:spacing w:after="0" w:line="240" w:lineRule="auto"/>
              <w:rPr>
                <w:sz w:val="24"/>
                <w:szCs w:val="24"/>
              </w:rPr>
            </w:pPr>
            <w:r>
              <w:rPr>
                <w:rFonts w:ascii="Times New Roman" w:hAnsi="Times New Roman" w:cs="Times New Roman"/>
                <w:color w:val="#000000"/>
                <w:sz w:val="24"/>
                <w:szCs w:val="24"/>
              </w:rPr>
              <w:t> Оценка персонала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человеческих ресурсов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развития человеческих ресурсов</w:t>
            </w:r>
          </w:p>
          <w:p>
            <w:pPr>
              <w:jc w:val="both"/>
              <w:spacing w:after="0" w:line="240" w:lineRule="auto"/>
              <w:rPr>
                <w:sz w:val="24"/>
                <w:szCs w:val="24"/>
              </w:rPr>
            </w:pPr>
            <w:r>
              <w:rPr>
                <w:rFonts w:ascii="Times New Roman" w:hAnsi="Times New Roman" w:cs="Times New Roman"/>
                <w:color w:val="#000000"/>
                <w:sz w:val="24"/>
                <w:szCs w:val="24"/>
              </w:rPr>
              <w:t> Обучение персонала. Методы обучения</w:t>
            </w:r>
          </w:p>
          <w:p>
            <w:pPr>
              <w:jc w:val="both"/>
              <w:spacing w:after="0" w:line="240" w:lineRule="auto"/>
              <w:rPr>
                <w:sz w:val="24"/>
                <w:szCs w:val="24"/>
              </w:rPr>
            </w:pPr>
            <w:r>
              <w:rPr>
                <w:rFonts w:ascii="Times New Roman" w:hAnsi="Times New Roman" w:cs="Times New Roman"/>
                <w:color w:val="#000000"/>
                <w:sz w:val="24"/>
                <w:szCs w:val="24"/>
              </w:rPr>
              <w:t> Управление деловой карьерой</w:t>
            </w:r>
          </w:p>
          <w:p>
            <w:pPr>
              <w:jc w:val="both"/>
              <w:spacing w:after="0" w:line="240" w:lineRule="auto"/>
              <w:rPr>
                <w:sz w:val="24"/>
                <w:szCs w:val="24"/>
              </w:rPr>
            </w:pPr>
            <w:r>
              <w:rPr>
                <w:rFonts w:ascii="Times New Roman" w:hAnsi="Times New Roman" w:cs="Times New Roman"/>
                <w:color w:val="#000000"/>
                <w:sz w:val="24"/>
                <w:szCs w:val="24"/>
              </w:rPr>
              <w:t> Формирование кадрового резерва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поведением персонала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Стресс-менеджмент в организации</w:t>
            </w:r>
          </w:p>
          <w:p>
            <w:pPr>
              <w:jc w:val="both"/>
              <w:spacing w:after="0" w:line="240" w:lineRule="auto"/>
              <w:rPr>
                <w:sz w:val="24"/>
                <w:szCs w:val="24"/>
              </w:rPr>
            </w:pPr>
            <w:r>
              <w:rPr>
                <w:rFonts w:ascii="Times New Roman" w:hAnsi="Times New Roman" w:cs="Times New Roman"/>
                <w:color w:val="#000000"/>
                <w:sz w:val="24"/>
                <w:szCs w:val="24"/>
              </w:rPr>
              <w:t> Управление конфликтами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управлению кадрами»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Дорохина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Ксенофонтова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Пастухова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Свердликова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Амозова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Денильханов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Зырянов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Зябкина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Семихова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978-5-9916-7304-4.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https://urait.ru/bcode/434312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Дорохина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Ксенофонтова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Маркеева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Пастухова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Свердликова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Юрасова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Амозова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Денильханов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Зырянов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Зябкина</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Семихова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Зубков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978-5-9916-7303-7.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Баудер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Гадиев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Ганичева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Кондрашов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Шеломенцева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Яшенкова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https://urait.ru/bcode/450458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Накарякова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http://www.iprbookshop.ru/50626.html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Гуськова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Краковская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Ерастова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Родин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https://www.biblio-online.ru/bcode/438218</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46.2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823.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2023-2024_ФГОС3++2023_Бак-ОФО-ГМУ(ГМС)(23)_plx_Практикум по управлению кадрами</dc:title>
  <dc:creator>FastReport.NET</dc:creator>
</cp:coreProperties>
</file>